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3882C69F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8D46C8">
        <w:rPr>
          <w:rFonts w:ascii="Arial" w:hAnsi="Arial" w:cs="Arial"/>
        </w:rPr>
        <w:t>032</w:t>
      </w:r>
      <w:r w:rsidRPr="00E03D8D">
        <w:rPr>
          <w:rFonts w:ascii="Arial" w:hAnsi="Arial" w:cs="Arial"/>
        </w:rPr>
        <w:t xml:space="preserve"> |</w:t>
      </w:r>
      <w:r w:rsidR="008D46C8">
        <w:rPr>
          <w:rFonts w:ascii="Arial" w:hAnsi="Arial" w:cs="Arial"/>
        </w:rPr>
        <w:t xml:space="preserve"> </w:t>
      </w:r>
      <w:r w:rsidR="004A5D81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4A5D81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8D46C8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327BE1" w:rsidRPr="00327BE1">
        <w:rPr>
          <w:rFonts w:ascii="Arial" w:hAnsi="Arial" w:cs="Arial"/>
        </w:rPr>
        <w:t>Owne</w:t>
      </w:r>
      <w:r w:rsidR="00951875">
        <w:rPr>
          <w:rFonts w:ascii="Arial" w:hAnsi="Arial" w:cs="Arial"/>
        </w:rPr>
        <w:t xml:space="preserve">r: </w:t>
      </w:r>
      <w:r w:rsidR="004A5D81">
        <w:rPr>
          <w:rFonts w:ascii="Arial" w:hAnsi="Arial" w:cs="Arial"/>
        </w:rPr>
        <w:t>WVU OHRP Director</w:t>
      </w:r>
      <w:r w:rsidR="00951875">
        <w:rPr>
          <w:rFonts w:ascii="Arial" w:hAnsi="Arial" w:cs="Arial"/>
        </w:rPr>
        <w:t xml:space="preserve"> | Approver: </w:t>
      </w:r>
      <w:r w:rsidR="004A5D81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15B2A69C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8D46C8">
        <w:rPr>
          <w:szCs w:val="32"/>
        </w:rPr>
        <w:t>Non-Committee Review Conduct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4777B766" w14:textId="22E87A4F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This procedure establishes the process for a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to conduct a </w:t>
      </w:r>
      <w:r w:rsidRPr="008D46C8">
        <w:rPr>
          <w:rFonts w:cs="Arial"/>
          <w:sz w:val="22"/>
          <w:szCs w:val="22"/>
          <w:u w:val="double"/>
        </w:rPr>
        <w:t>Non-Committee Review</w:t>
      </w:r>
      <w:r w:rsidR="004631A8">
        <w:rPr>
          <w:rFonts w:cs="Arial"/>
          <w:sz w:val="22"/>
          <w:szCs w:val="22"/>
        </w:rPr>
        <w:t>.</w:t>
      </w:r>
    </w:p>
    <w:p w14:paraId="56C39367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process begins when 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has the </w:t>
      </w:r>
      <w:proofErr w:type="gramStart"/>
      <w:r w:rsidRPr="008D46C8">
        <w:rPr>
          <w:rFonts w:cs="Arial"/>
          <w:sz w:val="22"/>
          <w:szCs w:val="22"/>
        </w:rPr>
        <w:t>provided materials</w:t>
      </w:r>
      <w:proofErr w:type="gramEnd"/>
      <w:r w:rsidRPr="008D46C8">
        <w:rPr>
          <w:rFonts w:cs="Arial"/>
          <w:sz w:val="22"/>
          <w:szCs w:val="22"/>
        </w:rPr>
        <w:t>.</w:t>
      </w:r>
    </w:p>
    <w:p w14:paraId="6BA2EC2D" w14:textId="3E1DA0F3" w:rsidR="0034262A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process ends when 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completes the review and returns the completed materials to an IRB staff member.</w:t>
      </w:r>
    </w:p>
    <w:p w14:paraId="2F59A332" w14:textId="77777777" w:rsidR="00326316" w:rsidRPr="00D926D2" w:rsidRDefault="00326316" w:rsidP="008D46C8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03AEE39F" w:rsidR="00326316" w:rsidRPr="0034262A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07E6C33A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may not </w:t>
      </w:r>
      <w:proofErr w:type="gramStart"/>
      <w:r w:rsidRPr="008D46C8">
        <w:rPr>
          <w:rFonts w:cs="Arial"/>
          <w:sz w:val="22"/>
          <w:szCs w:val="22"/>
        </w:rPr>
        <w:t>disapprove</w:t>
      </w:r>
      <w:proofErr w:type="gramEnd"/>
      <w:r w:rsidRPr="008D46C8">
        <w:rPr>
          <w:rFonts w:cs="Arial"/>
          <w:sz w:val="22"/>
          <w:szCs w:val="22"/>
        </w:rPr>
        <w:t xml:space="preserve"> research.</w:t>
      </w:r>
    </w:p>
    <w:p w14:paraId="3ADC4A62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utilizes all applicable worksheets in the review of research.</w:t>
      </w:r>
    </w:p>
    <w:p w14:paraId="301E61ED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All applicable criteria for approval in HRP-314 - WORKSHEET - Criteria for Approval must be satisfied </w:t>
      </w:r>
      <w:proofErr w:type="gramStart"/>
      <w:r w:rsidRPr="008D46C8">
        <w:rPr>
          <w:rFonts w:cs="Arial"/>
          <w:sz w:val="22"/>
          <w:szCs w:val="22"/>
        </w:rPr>
        <w:t>in order for</w:t>
      </w:r>
      <w:proofErr w:type="gramEnd"/>
      <w:r w:rsidRPr="008D46C8">
        <w:rPr>
          <w:rFonts w:cs="Arial"/>
          <w:sz w:val="22"/>
          <w:szCs w:val="22"/>
        </w:rPr>
        <w:t xml:space="preserve"> the research to be approved using the expedited procedure.</w:t>
      </w:r>
    </w:p>
    <w:p w14:paraId="638FEC70" w14:textId="4A6AC6AF" w:rsidR="00326316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All applicable criteria for approval in HRP-312 - WORKSHEET - Exemption Determination must be satisfied for research to be determined to be exempt</w:t>
      </w:r>
      <w:r w:rsidR="00892D96">
        <w:rPr>
          <w:rFonts w:cs="Arial"/>
          <w:sz w:val="22"/>
          <w:szCs w:val="22"/>
        </w:rPr>
        <w:t xml:space="preserve">. </w:t>
      </w:r>
    </w:p>
    <w:p w14:paraId="236E6220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7D54FFC3" w:rsidR="00326316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The</w:t>
      </w:r>
      <w:r w:rsidR="0019330E">
        <w:rPr>
          <w:rFonts w:cs="Arial"/>
          <w:sz w:val="22"/>
          <w:szCs w:val="22"/>
        </w:rPr>
        <w:t xml:space="preserve"> IRB staff or</w:t>
      </w:r>
      <w:r w:rsidRPr="008D46C8">
        <w:rPr>
          <w:rFonts w:cs="Arial"/>
          <w:sz w:val="22"/>
          <w:szCs w:val="22"/>
        </w:rPr>
        <w:t xml:space="preserve">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carr</w:t>
      </w:r>
      <w:r w:rsidR="0019330E">
        <w:rPr>
          <w:rFonts w:cs="Arial"/>
          <w:sz w:val="22"/>
          <w:szCs w:val="22"/>
        </w:rPr>
        <w:t>y</w:t>
      </w:r>
      <w:r w:rsidRPr="008D46C8">
        <w:rPr>
          <w:rFonts w:cs="Arial"/>
          <w:sz w:val="22"/>
          <w:szCs w:val="22"/>
        </w:rPr>
        <w:t xml:space="preserve"> out these procedures.</w:t>
      </w:r>
    </w:p>
    <w:p w14:paraId="7A334A9E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56FB63C8" w14:textId="40E4D406" w:rsidR="008D46C8" w:rsidRPr="00643A9F" w:rsidRDefault="008D46C8" w:rsidP="00643A9F">
      <w:pPr>
        <w:pStyle w:val="SOPLevel2"/>
        <w:spacing w:line="276" w:lineRule="auto"/>
        <w:rPr>
          <w:rFonts w:cs="Arial"/>
          <w:sz w:val="22"/>
          <w:szCs w:val="22"/>
        </w:rPr>
      </w:pPr>
      <w:r w:rsidRPr="17EAEBFB">
        <w:rPr>
          <w:rFonts w:cs="Arial"/>
          <w:sz w:val="22"/>
          <w:szCs w:val="22"/>
        </w:rPr>
        <w:t>Review all materials.</w:t>
      </w:r>
    </w:p>
    <w:p w14:paraId="05162B51" w14:textId="77777777" w:rsidR="00B1471C" w:rsidRDefault="002078D3" w:rsidP="00457211">
      <w:pPr>
        <w:pStyle w:val="SOPLeve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</w:t>
      </w:r>
      <w:r w:rsidR="00457211" w:rsidRPr="00457211">
        <w:rPr>
          <w:rFonts w:cs="Arial"/>
          <w:sz w:val="22"/>
          <w:szCs w:val="22"/>
        </w:rPr>
        <w:t>information is not complete</w:t>
      </w:r>
      <w:r w:rsidR="00B1471C">
        <w:rPr>
          <w:rFonts w:cs="Arial"/>
          <w:sz w:val="22"/>
          <w:szCs w:val="22"/>
        </w:rPr>
        <w:t>:</w:t>
      </w:r>
    </w:p>
    <w:p w14:paraId="7E3E9215" w14:textId="18B91863" w:rsidR="00457211" w:rsidRDefault="00B1471C" w:rsidP="00E57034">
      <w:pPr>
        <w:pStyle w:val="SOPLevel3"/>
      </w:pPr>
      <w:r>
        <w:t xml:space="preserve">The Designated Reviewer may contact the investigator directly by utilizing </w:t>
      </w:r>
      <w:r w:rsidR="00457211" w:rsidRPr="00457211">
        <w:t>the “Request Designated Review Clarifications” activity. Offer the investigator the opportunity to provide additional information.</w:t>
      </w:r>
      <w:r>
        <w:t xml:space="preserve"> The investigator will be able to identi</w:t>
      </w:r>
      <w:r w:rsidR="00BE088A">
        <w:t>f</w:t>
      </w:r>
      <w:r>
        <w:t>y the Designated Reviewer in this case.</w:t>
      </w:r>
    </w:p>
    <w:p w14:paraId="6633CE96" w14:textId="66756E49" w:rsidR="00B1471C" w:rsidRDefault="00B1471C" w:rsidP="00B1471C">
      <w:pPr>
        <w:pStyle w:val="SOPLevel3"/>
      </w:pPr>
      <w:r>
        <w:t xml:space="preserve">The Designated Reviewer may request </w:t>
      </w:r>
      <w:r w:rsidR="00DD6D42">
        <w:t xml:space="preserve">changes by selecting </w:t>
      </w:r>
      <w:r w:rsidR="00F750B4">
        <w:t>“</w:t>
      </w:r>
      <w:r w:rsidR="00F750B4" w:rsidRPr="00F750B4">
        <w:t>Modifications Required to Secure "Approved"</w:t>
      </w:r>
      <w:r w:rsidR="00F750B4">
        <w:t>” and completing the Designated review.</w:t>
      </w:r>
      <w:r w:rsidR="00BE088A">
        <w:t xml:space="preserve"> The investigator will not be able to identify the Designated Reviewer in this case.</w:t>
      </w:r>
    </w:p>
    <w:p w14:paraId="6E1E07CE" w14:textId="4E471F7B" w:rsidR="00F750B4" w:rsidRPr="00457211" w:rsidRDefault="00F750B4" w:rsidP="00E57034">
      <w:pPr>
        <w:pStyle w:val="SOPLevel4"/>
      </w:pPr>
      <w:r>
        <w:t xml:space="preserve">The submission </w:t>
      </w:r>
      <w:r w:rsidR="00202280">
        <w:t xml:space="preserve">is then returned to the IRB staff to generate a letter </w:t>
      </w:r>
      <w:proofErr w:type="gramStart"/>
      <w:r w:rsidR="00202280">
        <w:t>to request</w:t>
      </w:r>
      <w:proofErr w:type="gramEnd"/>
      <w:r w:rsidR="00202280">
        <w:t xml:space="preserve"> </w:t>
      </w:r>
      <w:r w:rsidR="00BE088A">
        <w:t xml:space="preserve">the required modifications. </w:t>
      </w:r>
      <w:r w:rsidR="00202280">
        <w:t xml:space="preserve"> </w:t>
      </w:r>
    </w:p>
    <w:p w14:paraId="4177397F" w14:textId="6EBBA0B6" w:rsidR="00457211" w:rsidRPr="00457211" w:rsidRDefault="00457211" w:rsidP="00457211">
      <w:pPr>
        <w:pStyle w:val="SOPLevel2"/>
        <w:rPr>
          <w:rFonts w:cs="Arial"/>
          <w:sz w:val="22"/>
          <w:szCs w:val="22"/>
        </w:rPr>
      </w:pPr>
      <w:r w:rsidRPr="00457211">
        <w:rPr>
          <w:rFonts w:cs="Arial"/>
          <w:sz w:val="22"/>
          <w:szCs w:val="22"/>
        </w:rPr>
        <w:t>Continue processing once the investigator responds to the request for additional information</w:t>
      </w:r>
      <w:r w:rsidR="00BE088A">
        <w:rPr>
          <w:rFonts w:cs="Arial"/>
          <w:sz w:val="22"/>
          <w:szCs w:val="22"/>
        </w:rPr>
        <w:t xml:space="preserve"> or required modifications</w:t>
      </w:r>
      <w:r w:rsidRPr="00457211">
        <w:rPr>
          <w:rFonts w:cs="Arial"/>
          <w:sz w:val="22"/>
          <w:szCs w:val="22"/>
        </w:rPr>
        <w:t>.</w:t>
      </w:r>
    </w:p>
    <w:p w14:paraId="15E59F5F" w14:textId="1711096F" w:rsidR="00457211" w:rsidRPr="00457211" w:rsidRDefault="00457211" w:rsidP="00457211">
      <w:pPr>
        <w:pStyle w:val="SOPLevel2"/>
        <w:rPr>
          <w:rFonts w:cs="Arial"/>
          <w:sz w:val="22"/>
          <w:szCs w:val="22"/>
        </w:rPr>
      </w:pPr>
      <w:r w:rsidRPr="00457211">
        <w:rPr>
          <w:rFonts w:cs="Arial"/>
          <w:sz w:val="22"/>
          <w:szCs w:val="22"/>
        </w:rPr>
        <w:t xml:space="preserve">If the investigator will not correct the submission, </w:t>
      </w:r>
      <w:r w:rsidR="009C6595">
        <w:rPr>
          <w:rFonts w:cs="Arial"/>
          <w:sz w:val="22"/>
          <w:szCs w:val="22"/>
        </w:rPr>
        <w:t xml:space="preserve">the investigator returns the submission with justification for not making the requested change. </w:t>
      </w:r>
    </w:p>
    <w:p w14:paraId="052FCE12" w14:textId="25A6D182" w:rsidR="008D46C8" w:rsidRPr="008D46C8" w:rsidDel="00643A9F" w:rsidRDefault="004001A3" w:rsidP="008D46C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Make the appropriate determination</w:t>
      </w:r>
      <w:r w:rsidR="008D46C8" w:rsidRPr="17EAEBFB">
        <w:rPr>
          <w:rFonts w:cs="Arial"/>
          <w:sz w:val="22"/>
          <w:szCs w:val="22"/>
        </w:rPr>
        <w:t>:</w:t>
      </w:r>
    </w:p>
    <w:p w14:paraId="16014DED" w14:textId="49764634" w:rsidR="008D46C8" w:rsidRPr="008D46C8" w:rsidDel="00643A9F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</w:rPr>
        <w:t xml:space="preserve">Not </w:t>
      </w: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, </w:t>
      </w:r>
    </w:p>
    <w:p w14:paraId="4B173837" w14:textId="0EF6D312" w:rsidR="008D46C8" w:rsidRPr="008D46C8" w:rsidDel="00643A9F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 not Engaged, </w:t>
      </w:r>
    </w:p>
    <w:p w14:paraId="54D47BE2" w14:textId="686085FE" w:rsidR="008D46C8" w:rsidRPr="008D46C8" w:rsidDel="00643A9F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</w:rPr>
        <w:lastRenderedPageBreak/>
        <w:t xml:space="preserve">Exempt </w:t>
      </w: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 (including exempt </w:t>
      </w: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 that requires Limited IRB Review), </w:t>
      </w:r>
    </w:p>
    <w:p w14:paraId="76A16823" w14:textId="53845C13" w:rsidR="008D46C8" w:rsidRPr="008D46C8" w:rsidDel="00643A9F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 approved using the expedited procedure, or </w:t>
      </w:r>
    </w:p>
    <w:p w14:paraId="2924FB28" w14:textId="75413720" w:rsidR="008D46C8" w:rsidRPr="008D46C8" w:rsidDel="00643A9F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 that requires review by a convened IRB.</w:t>
      </w:r>
    </w:p>
    <w:p w14:paraId="0AC3EB80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If consultation is needed follow HRP-051 - SOP - Consultation.</w:t>
      </w:r>
    </w:p>
    <w:p w14:paraId="1FBE9A24" w14:textId="0BC02E37" w:rsidR="008D46C8" w:rsidRPr="0012227A" w:rsidRDefault="0096358C" w:rsidP="008D46C8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Once review is complete, </w:t>
      </w:r>
      <w:r w:rsidR="00FE5C05">
        <w:rPr>
          <w:sz w:val="22"/>
          <w:szCs w:val="22"/>
        </w:rPr>
        <w:t>e</w:t>
      </w:r>
      <w:r w:rsidR="008D46C8" w:rsidRPr="0012227A">
        <w:rPr>
          <w:sz w:val="22"/>
          <w:szCs w:val="22"/>
        </w:rPr>
        <w:t>xecute the “Submit Designated Review” activity</w:t>
      </w:r>
      <w:r w:rsidR="00BE088A">
        <w:rPr>
          <w:sz w:val="22"/>
          <w:szCs w:val="22"/>
        </w:rPr>
        <w:t xml:space="preserve"> and select appropriate approval option</w:t>
      </w:r>
      <w:r w:rsidR="008D46C8" w:rsidRPr="0012227A">
        <w:rPr>
          <w:sz w:val="22"/>
          <w:szCs w:val="22"/>
        </w:rPr>
        <w:t>.</w:t>
      </w:r>
    </w:p>
    <w:p w14:paraId="7A1D0967" w14:textId="10D4B991" w:rsidR="00326316" w:rsidRPr="0012227A" w:rsidRDefault="008D46C8" w:rsidP="0012227A">
      <w:pPr>
        <w:pStyle w:val="SOPLevel2"/>
        <w:rPr>
          <w:sz w:val="22"/>
          <w:szCs w:val="28"/>
        </w:rPr>
      </w:pPr>
      <w:r w:rsidRPr="0012227A">
        <w:rPr>
          <w:sz w:val="22"/>
          <w:szCs w:val="28"/>
        </w:rPr>
        <w:t xml:space="preserve">Return all materials and completed checklists to the IRB staff within </w:t>
      </w:r>
      <w:r>
        <w:rPr>
          <w:sz w:val="22"/>
          <w:szCs w:val="28"/>
        </w:rPr>
        <w:t>10</w:t>
      </w:r>
      <w:r w:rsidR="005A23A6">
        <w:rPr>
          <w:sz w:val="22"/>
          <w:szCs w:val="28"/>
        </w:rPr>
        <w:t xml:space="preserve"> </w:t>
      </w:r>
      <w:r w:rsidRPr="0012227A">
        <w:rPr>
          <w:sz w:val="22"/>
          <w:szCs w:val="28"/>
        </w:rPr>
        <w:t>days of receipt of materials.</w:t>
      </w:r>
    </w:p>
    <w:p w14:paraId="46FE9BD2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7D7AF8F3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HRP-051 - SOP - Consultation</w:t>
      </w:r>
    </w:p>
    <w:p w14:paraId="71AD730B" w14:textId="77777777" w:rsid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HRP-312 - WORKSHEET - Exemption Determination</w:t>
      </w:r>
    </w:p>
    <w:p w14:paraId="6C1E01D3" w14:textId="011AA446" w:rsidR="0020310E" w:rsidRPr="008D46C8" w:rsidRDefault="0020310E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20310E">
        <w:rPr>
          <w:rFonts w:cs="Arial"/>
          <w:sz w:val="22"/>
          <w:szCs w:val="22"/>
        </w:rPr>
        <w:t>HRP-313 - WORKSHEET - Expedited Review</w:t>
      </w:r>
    </w:p>
    <w:p w14:paraId="26235513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HRP-314 - WORKSHEET - Criteria for Approval</w:t>
      </w:r>
    </w:p>
    <w:p w14:paraId="67BFD6E7" w14:textId="7A50B542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194E9670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21 CFR §56.110(b).</w:t>
      </w:r>
    </w:p>
    <w:p w14:paraId="76EDF2F8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45 CFR §46.110(b).</w:t>
      </w:r>
    </w:p>
    <w:p w14:paraId="47C4A902" w14:textId="656343F7" w:rsidR="002B681F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AAHRPP elements I.1.A, I.6.B, I.7.A, I-9, II.2.A-C, II.2.F-II.</w:t>
      </w:r>
      <w:proofErr w:type="gramStart"/>
      <w:r w:rsidRPr="008D46C8">
        <w:rPr>
          <w:rFonts w:cs="Arial"/>
          <w:sz w:val="22"/>
          <w:szCs w:val="22"/>
        </w:rPr>
        <w:t>2.F.</w:t>
      </w:r>
      <w:proofErr w:type="gramEnd"/>
      <w:r w:rsidRPr="008D46C8">
        <w:rPr>
          <w:rFonts w:cs="Arial"/>
          <w:sz w:val="22"/>
          <w:szCs w:val="22"/>
        </w:rPr>
        <w:t>3, II.5.A</w:t>
      </w:r>
      <w:r w:rsidRPr="008D46C8">
        <w:rPr>
          <w:rFonts w:cs="Arial"/>
          <w:sz w:val="22"/>
          <w:szCs w:val="22"/>
        </w:rPr>
        <w:tab/>
      </w:r>
    </w:p>
    <w:sectPr w:rsidR="002B681F" w:rsidRPr="008D46C8" w:rsidSect="006605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0609" w14:textId="77777777" w:rsidR="005D215B" w:rsidRDefault="005D215B" w:rsidP="00855EE6">
      <w:pPr>
        <w:spacing w:after="0" w:line="240" w:lineRule="auto"/>
      </w:pPr>
      <w:r>
        <w:separator/>
      </w:r>
    </w:p>
  </w:endnote>
  <w:endnote w:type="continuationSeparator" w:id="0">
    <w:p w14:paraId="3369ECEE" w14:textId="77777777" w:rsidR="005D215B" w:rsidRDefault="005D215B" w:rsidP="00855EE6">
      <w:pPr>
        <w:spacing w:after="0" w:line="240" w:lineRule="auto"/>
      </w:pPr>
      <w:r>
        <w:continuationSeparator/>
      </w:r>
    </w:p>
  </w:endnote>
  <w:endnote w:type="continuationNotice" w:id="1">
    <w:p w14:paraId="5186405F" w14:textId="77777777" w:rsidR="005D215B" w:rsidRDefault="005D21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FF9A" w14:textId="77777777" w:rsidR="005B3097" w:rsidRDefault="005B3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6587477" w14:textId="5AF0F159" w:rsidR="00402776" w:rsidRPr="00276526" w:rsidRDefault="00402776" w:rsidP="00402776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6035E">
      <w:rPr>
        <w:b/>
        <w:bCs/>
      </w:rPr>
      <w:t xml:space="preserve"> </w:t>
    </w:r>
    <w:r w:rsidRPr="00276526">
      <w:rPr>
        <w:b/>
        <w:bCs/>
      </w:rPr>
      <w:t>©</w:t>
    </w:r>
    <w:r w:rsidR="007B13D2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A78E846" w14:textId="77777777" w:rsidR="00402776" w:rsidRPr="00276526" w:rsidRDefault="00402776" w:rsidP="00402776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BFE6" w14:textId="77777777" w:rsidR="00A529FE" w:rsidRPr="00915462" w:rsidRDefault="00A529FE" w:rsidP="00A529FE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3AEBD32" w14:textId="14FEF192" w:rsidR="00402776" w:rsidRPr="00276526" w:rsidRDefault="00402776" w:rsidP="00402776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67214">
      <w:rPr>
        <w:b/>
        <w:bCs/>
      </w:rPr>
      <w:t xml:space="preserve"> </w:t>
    </w:r>
    <w:r w:rsidRPr="00276526">
      <w:rPr>
        <w:b/>
        <w:bCs/>
      </w:rPr>
      <w:t>©</w:t>
    </w:r>
    <w:r w:rsidR="007B13D2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719D1408" w14:textId="77777777" w:rsidR="00402776" w:rsidRPr="00276526" w:rsidRDefault="00402776" w:rsidP="00402776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29BC" w14:textId="77777777" w:rsidR="005D215B" w:rsidRDefault="005D215B" w:rsidP="00855EE6">
      <w:pPr>
        <w:spacing w:after="0" w:line="240" w:lineRule="auto"/>
      </w:pPr>
      <w:r>
        <w:separator/>
      </w:r>
    </w:p>
  </w:footnote>
  <w:footnote w:type="continuationSeparator" w:id="0">
    <w:p w14:paraId="28A67E10" w14:textId="77777777" w:rsidR="005D215B" w:rsidRDefault="005D215B" w:rsidP="00855EE6">
      <w:pPr>
        <w:spacing w:after="0" w:line="240" w:lineRule="auto"/>
      </w:pPr>
      <w:r>
        <w:continuationSeparator/>
      </w:r>
    </w:p>
  </w:footnote>
  <w:footnote w:type="continuationNotice" w:id="1">
    <w:p w14:paraId="05CF42A3" w14:textId="77777777" w:rsidR="005D215B" w:rsidRDefault="005D21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E1D0" w14:textId="77777777" w:rsidR="005B3097" w:rsidRDefault="005B3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7F93E4AE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4A0D9B1" w:rsidR="00397D6B" w:rsidRDefault="005B3097" w:rsidP="00A529FE">
    <w:pPr>
      <w:pStyle w:val="Header"/>
      <w:jc w:val="center"/>
    </w:pPr>
    <w:r>
      <w:rPr>
        <w:noProof/>
      </w:rPr>
      <w:drawing>
        <wp:inline distT="0" distB="0" distL="0" distR="0" wp14:anchorId="6F02B101" wp14:editId="081FA0FB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030BE" w14:textId="77777777" w:rsidR="00A529FE" w:rsidRDefault="00A529FE" w:rsidP="00A529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30300">
    <w:abstractNumId w:val="1"/>
  </w:num>
  <w:num w:numId="2" w16cid:durableId="377291128">
    <w:abstractNumId w:val="2"/>
  </w:num>
  <w:num w:numId="3" w16cid:durableId="176236653">
    <w:abstractNumId w:val="0"/>
  </w:num>
  <w:num w:numId="4" w16cid:durableId="1642419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679E4"/>
    <w:rsid w:val="00073852"/>
    <w:rsid w:val="00076039"/>
    <w:rsid w:val="00082AFF"/>
    <w:rsid w:val="00095BC7"/>
    <w:rsid w:val="00097C68"/>
    <w:rsid w:val="000E220B"/>
    <w:rsid w:val="000F5F1B"/>
    <w:rsid w:val="00112F1A"/>
    <w:rsid w:val="0012227A"/>
    <w:rsid w:val="00130229"/>
    <w:rsid w:val="00142CDB"/>
    <w:rsid w:val="00150F7C"/>
    <w:rsid w:val="00157B8C"/>
    <w:rsid w:val="0019330E"/>
    <w:rsid w:val="00202280"/>
    <w:rsid w:val="0020310E"/>
    <w:rsid w:val="002078D3"/>
    <w:rsid w:val="00216912"/>
    <w:rsid w:val="00265078"/>
    <w:rsid w:val="00272E9B"/>
    <w:rsid w:val="002936FC"/>
    <w:rsid w:val="002A0689"/>
    <w:rsid w:val="002A0DD4"/>
    <w:rsid w:val="002B681F"/>
    <w:rsid w:val="002C2767"/>
    <w:rsid w:val="002D7F25"/>
    <w:rsid w:val="0030181F"/>
    <w:rsid w:val="00302BE6"/>
    <w:rsid w:val="00307343"/>
    <w:rsid w:val="00326316"/>
    <w:rsid w:val="00326970"/>
    <w:rsid w:val="00327BE1"/>
    <w:rsid w:val="0034262A"/>
    <w:rsid w:val="0035722D"/>
    <w:rsid w:val="00376FA0"/>
    <w:rsid w:val="00397D6B"/>
    <w:rsid w:val="003D2F95"/>
    <w:rsid w:val="003E5AE2"/>
    <w:rsid w:val="003F35F5"/>
    <w:rsid w:val="004001A3"/>
    <w:rsid w:val="00402776"/>
    <w:rsid w:val="00413B76"/>
    <w:rsid w:val="00421743"/>
    <w:rsid w:val="00432636"/>
    <w:rsid w:val="00433C87"/>
    <w:rsid w:val="00444629"/>
    <w:rsid w:val="004455B1"/>
    <w:rsid w:val="00457211"/>
    <w:rsid w:val="0046035E"/>
    <w:rsid w:val="004631A8"/>
    <w:rsid w:val="004709CB"/>
    <w:rsid w:val="004A36D8"/>
    <w:rsid w:val="004A5D81"/>
    <w:rsid w:val="004B05DE"/>
    <w:rsid w:val="004B172B"/>
    <w:rsid w:val="004B2B96"/>
    <w:rsid w:val="004E2CCD"/>
    <w:rsid w:val="004F03E6"/>
    <w:rsid w:val="005075FA"/>
    <w:rsid w:val="00512CDD"/>
    <w:rsid w:val="00536082"/>
    <w:rsid w:val="00562593"/>
    <w:rsid w:val="00562691"/>
    <w:rsid w:val="005678B9"/>
    <w:rsid w:val="00574247"/>
    <w:rsid w:val="0059053B"/>
    <w:rsid w:val="005A23A6"/>
    <w:rsid w:val="005B3097"/>
    <w:rsid w:val="005C5C4B"/>
    <w:rsid w:val="005D215B"/>
    <w:rsid w:val="00612FDA"/>
    <w:rsid w:val="0062282F"/>
    <w:rsid w:val="00625EFE"/>
    <w:rsid w:val="00636276"/>
    <w:rsid w:val="00643A9F"/>
    <w:rsid w:val="00650A58"/>
    <w:rsid w:val="00654C44"/>
    <w:rsid w:val="00660580"/>
    <w:rsid w:val="00666FCC"/>
    <w:rsid w:val="00675EB8"/>
    <w:rsid w:val="006844F4"/>
    <w:rsid w:val="00695219"/>
    <w:rsid w:val="006C3173"/>
    <w:rsid w:val="006F23D2"/>
    <w:rsid w:val="00714445"/>
    <w:rsid w:val="00724AD8"/>
    <w:rsid w:val="007469E0"/>
    <w:rsid w:val="0076301A"/>
    <w:rsid w:val="007B13D2"/>
    <w:rsid w:val="007B7C31"/>
    <w:rsid w:val="007E5D9C"/>
    <w:rsid w:val="00821C23"/>
    <w:rsid w:val="008375A6"/>
    <w:rsid w:val="0084152D"/>
    <w:rsid w:val="008546AF"/>
    <w:rsid w:val="0085562E"/>
    <w:rsid w:val="00855EE6"/>
    <w:rsid w:val="0086083E"/>
    <w:rsid w:val="00872DA6"/>
    <w:rsid w:val="00873419"/>
    <w:rsid w:val="00891FE9"/>
    <w:rsid w:val="00892392"/>
    <w:rsid w:val="00892D96"/>
    <w:rsid w:val="00893D51"/>
    <w:rsid w:val="008A4B90"/>
    <w:rsid w:val="008A5B44"/>
    <w:rsid w:val="008B0231"/>
    <w:rsid w:val="008B32E5"/>
    <w:rsid w:val="008B3D20"/>
    <w:rsid w:val="008C348B"/>
    <w:rsid w:val="008D46C8"/>
    <w:rsid w:val="008E4C72"/>
    <w:rsid w:val="00902793"/>
    <w:rsid w:val="00915462"/>
    <w:rsid w:val="00917358"/>
    <w:rsid w:val="00923AEE"/>
    <w:rsid w:val="00951875"/>
    <w:rsid w:val="00962935"/>
    <w:rsid w:val="0096358C"/>
    <w:rsid w:val="0099790C"/>
    <w:rsid w:val="009A298A"/>
    <w:rsid w:val="009A6F36"/>
    <w:rsid w:val="009B7AC6"/>
    <w:rsid w:val="009C1EE8"/>
    <w:rsid w:val="009C6595"/>
    <w:rsid w:val="009D57AE"/>
    <w:rsid w:val="00A2508F"/>
    <w:rsid w:val="00A476AA"/>
    <w:rsid w:val="00A529FE"/>
    <w:rsid w:val="00A55CF1"/>
    <w:rsid w:val="00A6026C"/>
    <w:rsid w:val="00A65E0D"/>
    <w:rsid w:val="00A67214"/>
    <w:rsid w:val="00AC2F0C"/>
    <w:rsid w:val="00AC4ED1"/>
    <w:rsid w:val="00B1471C"/>
    <w:rsid w:val="00B23768"/>
    <w:rsid w:val="00B23D93"/>
    <w:rsid w:val="00B54DF7"/>
    <w:rsid w:val="00B61F4A"/>
    <w:rsid w:val="00B77EE4"/>
    <w:rsid w:val="00B8644A"/>
    <w:rsid w:val="00BB2AC7"/>
    <w:rsid w:val="00BB2FC1"/>
    <w:rsid w:val="00BD288B"/>
    <w:rsid w:val="00BD7438"/>
    <w:rsid w:val="00BD764F"/>
    <w:rsid w:val="00BE088A"/>
    <w:rsid w:val="00BF2F85"/>
    <w:rsid w:val="00C02D0F"/>
    <w:rsid w:val="00C11900"/>
    <w:rsid w:val="00C17F00"/>
    <w:rsid w:val="00C35D68"/>
    <w:rsid w:val="00C468AA"/>
    <w:rsid w:val="00C536C2"/>
    <w:rsid w:val="00C75CAF"/>
    <w:rsid w:val="00C97E43"/>
    <w:rsid w:val="00CA04CE"/>
    <w:rsid w:val="00CD6AD6"/>
    <w:rsid w:val="00CE0599"/>
    <w:rsid w:val="00CE106A"/>
    <w:rsid w:val="00CE71B7"/>
    <w:rsid w:val="00D35E6A"/>
    <w:rsid w:val="00D42EF7"/>
    <w:rsid w:val="00D843D5"/>
    <w:rsid w:val="00D926D2"/>
    <w:rsid w:val="00DB4A3C"/>
    <w:rsid w:val="00DD6D42"/>
    <w:rsid w:val="00DE7C55"/>
    <w:rsid w:val="00E01B44"/>
    <w:rsid w:val="00E0288C"/>
    <w:rsid w:val="00E03B71"/>
    <w:rsid w:val="00E03D8D"/>
    <w:rsid w:val="00E07E04"/>
    <w:rsid w:val="00E33C34"/>
    <w:rsid w:val="00E34769"/>
    <w:rsid w:val="00E4159E"/>
    <w:rsid w:val="00E57034"/>
    <w:rsid w:val="00E61D55"/>
    <w:rsid w:val="00E96368"/>
    <w:rsid w:val="00EE39FA"/>
    <w:rsid w:val="00EF642F"/>
    <w:rsid w:val="00F116D8"/>
    <w:rsid w:val="00F21D47"/>
    <w:rsid w:val="00F40567"/>
    <w:rsid w:val="00F750B4"/>
    <w:rsid w:val="00F84AEF"/>
    <w:rsid w:val="00FE0E64"/>
    <w:rsid w:val="00FE1862"/>
    <w:rsid w:val="00FE5C05"/>
    <w:rsid w:val="00FF62C3"/>
    <w:rsid w:val="17EAEBFB"/>
    <w:rsid w:val="7B978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937CD37-EF23-478B-8461-DD3A61F0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41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5EDE8FEB-97F6-4232-8B70-6AEF97BBA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3617E-48DD-4E88-B556-C95C3C2B2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8A177-38BC-4720-ABCD-9BA922F94224}">
  <ds:schemaRefs>
    <ds:schemaRef ds:uri="20442066-bf90-4535-9958-bdb0b8ae0d2c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5b12f2e-6b3c-4a3a-9961-bb47292d08c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Autumn Lindsay</cp:lastModifiedBy>
  <cp:revision>4</cp:revision>
  <dcterms:created xsi:type="dcterms:W3CDTF">2025-07-11T17:40:00Z</dcterms:created>
  <dcterms:modified xsi:type="dcterms:W3CDTF">2025-08-22T16:47:00Z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